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0D0" w:rsidRPr="00D300D0" w:rsidRDefault="00D300D0" w:rsidP="00D300D0">
      <w:pPr>
        <w:tabs>
          <w:tab w:val="left" w:pos="360"/>
          <w:tab w:val="left" w:pos="1418"/>
        </w:tabs>
        <w:ind w:left="1418" w:right="334" w:hanging="1418"/>
        <w:jc w:val="both"/>
        <w:rPr>
          <w:rFonts w:ascii="Arial" w:hAnsi="Arial" w:cs="Arial"/>
          <w:b/>
          <w:sz w:val="22"/>
          <w:szCs w:val="22"/>
        </w:rPr>
      </w:pPr>
      <w:r w:rsidRPr="00D300D0">
        <w:rPr>
          <w:rFonts w:ascii="Arial" w:hAnsi="Arial" w:cs="Arial"/>
          <w:b/>
          <w:sz w:val="22"/>
          <w:szCs w:val="22"/>
        </w:rPr>
        <w:t>EP. 142.-</w:t>
      </w:r>
      <w:r w:rsidRPr="00D300D0">
        <w:rPr>
          <w:rFonts w:ascii="Arial" w:hAnsi="Arial" w:cs="Arial"/>
          <w:b/>
          <w:sz w:val="22"/>
          <w:szCs w:val="22"/>
        </w:rPr>
        <w:tab/>
        <w:t>DISEÑO, CONSTRUCCIÓN Y REUBICACIÓN DE LÍNEA AÉREA DE TELECOMUNICACIONES (ALESTRA, IUSACELL O TELMEX), LÍNEA DE COMUNICACIONES EN AFECTACIÓN A INFRAESTRUCTURA INCLUYENDO CONDUCTORES, POSTES, MATERIALES, ESTUDIOS Y DISEÑO, P.U.O.T.</w:t>
      </w:r>
    </w:p>
    <w:p w:rsidR="00D300D0" w:rsidRPr="00D300D0" w:rsidRDefault="00D300D0" w:rsidP="00D300D0">
      <w:pPr>
        <w:tabs>
          <w:tab w:val="left" w:pos="360"/>
          <w:tab w:val="left" w:pos="1418"/>
        </w:tabs>
        <w:ind w:left="1418" w:right="334" w:hanging="1418"/>
        <w:jc w:val="both"/>
        <w:rPr>
          <w:rFonts w:ascii="Arial" w:hAnsi="Arial" w:cs="Arial"/>
          <w:b/>
          <w:sz w:val="22"/>
          <w:szCs w:val="22"/>
        </w:rPr>
      </w:pPr>
    </w:p>
    <w:p w:rsidR="00D300D0" w:rsidRPr="00D300D0" w:rsidRDefault="00D300D0" w:rsidP="00D300D0">
      <w:pPr>
        <w:tabs>
          <w:tab w:val="left" w:pos="360"/>
          <w:tab w:val="left" w:pos="1418"/>
        </w:tabs>
        <w:ind w:left="1418" w:right="334" w:hanging="1418"/>
        <w:jc w:val="both"/>
        <w:rPr>
          <w:rFonts w:ascii="Arial" w:hAnsi="Arial" w:cs="Arial"/>
          <w:b/>
          <w:sz w:val="22"/>
          <w:szCs w:val="22"/>
        </w:rPr>
      </w:pPr>
    </w:p>
    <w:p w:rsidR="00D300D0" w:rsidRPr="00D300D0" w:rsidRDefault="00D300D0" w:rsidP="00D300D0">
      <w:pPr>
        <w:tabs>
          <w:tab w:val="left" w:pos="360"/>
          <w:tab w:val="left" w:pos="1418"/>
        </w:tabs>
        <w:ind w:left="1418" w:right="334" w:hanging="1418"/>
        <w:jc w:val="both"/>
        <w:rPr>
          <w:rFonts w:ascii="Arial" w:hAnsi="Arial" w:cs="Arial"/>
          <w:b/>
          <w:sz w:val="22"/>
          <w:szCs w:val="22"/>
        </w:rPr>
      </w:pPr>
    </w:p>
    <w:p w:rsidR="00D300D0" w:rsidRPr="00D300D0" w:rsidRDefault="00D300D0" w:rsidP="00D300D0">
      <w:pPr>
        <w:tabs>
          <w:tab w:val="left" w:pos="360"/>
          <w:tab w:val="left" w:pos="1620"/>
          <w:tab w:val="left" w:pos="2127"/>
        </w:tabs>
        <w:ind w:left="2127" w:right="334" w:hanging="2127"/>
        <w:jc w:val="both"/>
        <w:rPr>
          <w:rFonts w:ascii="Arial" w:hAnsi="Arial" w:cs="Arial"/>
          <w:sz w:val="22"/>
          <w:szCs w:val="22"/>
          <w:u w:val="single"/>
        </w:rPr>
      </w:pPr>
    </w:p>
    <w:p w:rsidR="00D300D0" w:rsidRPr="00D300D0" w:rsidRDefault="00D300D0" w:rsidP="00D300D0">
      <w:pPr>
        <w:tabs>
          <w:tab w:val="left" w:pos="360"/>
          <w:tab w:val="left" w:pos="1418"/>
          <w:tab w:val="left" w:pos="1620"/>
        </w:tabs>
        <w:ind w:right="-1"/>
        <w:jc w:val="both"/>
        <w:rPr>
          <w:rFonts w:ascii="Arial" w:hAnsi="Arial" w:cs="Arial"/>
          <w:sz w:val="22"/>
          <w:szCs w:val="22"/>
        </w:rPr>
      </w:pPr>
      <w:r w:rsidRPr="00D300D0">
        <w:rPr>
          <w:rFonts w:ascii="Arial" w:hAnsi="Arial" w:cs="Arial"/>
          <w:b/>
          <w:sz w:val="22"/>
          <w:szCs w:val="22"/>
        </w:rPr>
        <w:t xml:space="preserve">EJECUCIÓN.- </w:t>
      </w:r>
      <w:r w:rsidRPr="00D300D0">
        <w:rPr>
          <w:rFonts w:ascii="Arial" w:hAnsi="Arial" w:cs="Arial"/>
          <w:sz w:val="22"/>
          <w:szCs w:val="22"/>
        </w:rPr>
        <w:t>El diseño, construcción y reubicación de la línea aérea de telecomunicaciones que resulte afectado se proyectará, construirá y reubicará de acuerdo a las normativas de telecomunicaciones vigentes. La remoción y/o sustitución del sistema se realizará únicamente hasta que se encuentre operativo y funcional el nuevo sistema a utilizar. Los herrajes, cables conductores, los postes, las excavaciones, las grúas, la compactación del terreno, los aislamientos, los soportes para cables, las retenidas, los conectores y todos los elementos que intervienen en el sistema serán total o parcialmente reubicados y/o sustituidos,</w:t>
      </w:r>
      <w:r w:rsidRPr="00D300D0">
        <w:rPr>
          <w:rFonts w:ascii="Arial" w:hAnsi="Arial" w:cs="Arial"/>
          <w:b/>
          <w:sz w:val="22"/>
          <w:szCs w:val="22"/>
        </w:rPr>
        <w:t xml:space="preserve"> </w:t>
      </w:r>
      <w:r w:rsidRPr="00D300D0">
        <w:rPr>
          <w:rFonts w:ascii="Arial" w:hAnsi="Arial" w:cs="Arial"/>
          <w:sz w:val="22"/>
          <w:szCs w:val="22"/>
        </w:rPr>
        <w:t xml:space="preserve">según sea el caso particular para cada necesidad, cubriendo con esto todas las acciones pertinentes para desmontar, demoler o remover los elementos que para los fines del proyecto sean pertinentes. El nuevo tramo del sistema contará con la calidad necesaria para operar de manera eficiente de acuerdo a las especificaciones del proyecto. </w:t>
      </w:r>
    </w:p>
    <w:p w:rsidR="00D300D0" w:rsidRPr="00D300D0" w:rsidRDefault="00D300D0" w:rsidP="00D300D0">
      <w:pPr>
        <w:tabs>
          <w:tab w:val="left" w:pos="360"/>
          <w:tab w:val="left" w:pos="1418"/>
          <w:tab w:val="left" w:pos="1620"/>
        </w:tabs>
        <w:ind w:right="-1"/>
        <w:jc w:val="both"/>
        <w:rPr>
          <w:rFonts w:ascii="Arial" w:hAnsi="Arial" w:cs="Arial"/>
          <w:sz w:val="22"/>
          <w:szCs w:val="22"/>
        </w:rPr>
      </w:pPr>
    </w:p>
    <w:p w:rsidR="00D300D0" w:rsidRPr="00D300D0" w:rsidRDefault="00D300D0" w:rsidP="00D300D0">
      <w:pPr>
        <w:ind w:left="2127" w:right="334" w:hanging="2127"/>
        <w:jc w:val="both"/>
        <w:rPr>
          <w:rFonts w:ascii="Arial" w:hAnsi="Arial" w:cs="Arial"/>
          <w:b/>
          <w:sz w:val="22"/>
          <w:szCs w:val="22"/>
        </w:rPr>
      </w:pPr>
    </w:p>
    <w:p w:rsidR="00D300D0" w:rsidRPr="00D300D0" w:rsidRDefault="00D300D0" w:rsidP="00D300D0">
      <w:pPr>
        <w:jc w:val="both"/>
        <w:rPr>
          <w:rFonts w:ascii="Arial" w:hAnsi="Arial" w:cs="Arial"/>
          <w:sz w:val="22"/>
          <w:szCs w:val="22"/>
        </w:rPr>
      </w:pPr>
      <w:r w:rsidRPr="00D300D0">
        <w:rPr>
          <w:rFonts w:ascii="Arial" w:hAnsi="Arial" w:cs="Arial"/>
          <w:b/>
          <w:sz w:val="22"/>
          <w:szCs w:val="22"/>
        </w:rPr>
        <w:t xml:space="preserve">MEDICIÓN.- </w:t>
      </w:r>
      <w:r w:rsidRPr="00D300D0">
        <w:rPr>
          <w:rFonts w:ascii="Arial" w:hAnsi="Arial" w:cs="Arial"/>
          <w:bCs/>
          <w:sz w:val="22"/>
          <w:szCs w:val="22"/>
        </w:rPr>
        <w:t xml:space="preserve">La medición del </w:t>
      </w:r>
      <w:r w:rsidRPr="00D300D0">
        <w:rPr>
          <w:rFonts w:ascii="Arial" w:hAnsi="Arial" w:cs="Arial"/>
          <w:sz w:val="22"/>
          <w:szCs w:val="22"/>
        </w:rPr>
        <w:t>diseño, construcción y reubicación de la línea aérea de telecomunicaciones</w:t>
      </w:r>
      <w:r w:rsidRPr="00D300D0">
        <w:rPr>
          <w:rFonts w:ascii="Arial" w:hAnsi="Arial" w:cs="Arial"/>
          <w:bCs/>
          <w:sz w:val="22"/>
          <w:szCs w:val="22"/>
        </w:rPr>
        <w:t xml:space="preserve"> en afectaciones</w:t>
      </w:r>
      <w:r w:rsidRPr="00D300D0">
        <w:rPr>
          <w:rFonts w:ascii="Arial" w:hAnsi="Arial" w:cs="Arial"/>
          <w:sz w:val="22"/>
          <w:szCs w:val="22"/>
        </w:rPr>
        <w:t xml:space="preserve">, por unidad de obra terminada, </w:t>
      </w:r>
      <w:r w:rsidRPr="00D300D0">
        <w:rPr>
          <w:rFonts w:ascii="Arial" w:hAnsi="Arial" w:cs="Arial"/>
          <w:bCs/>
          <w:sz w:val="22"/>
          <w:szCs w:val="22"/>
        </w:rPr>
        <w:t xml:space="preserve">se hará tomando como unidad </w:t>
      </w:r>
      <w:r>
        <w:rPr>
          <w:rFonts w:ascii="Arial" w:hAnsi="Arial" w:cs="Arial"/>
          <w:sz w:val="22"/>
          <w:szCs w:val="22"/>
        </w:rPr>
        <w:t>el metro lineal (m).</w:t>
      </w:r>
    </w:p>
    <w:p w:rsidR="00D300D0" w:rsidRPr="00D300D0" w:rsidRDefault="00D300D0" w:rsidP="00D300D0">
      <w:pPr>
        <w:ind w:left="2127" w:right="334" w:hanging="2127"/>
        <w:jc w:val="both"/>
        <w:rPr>
          <w:rFonts w:ascii="Arial" w:hAnsi="Arial" w:cs="Arial"/>
          <w:b/>
          <w:sz w:val="22"/>
          <w:szCs w:val="22"/>
        </w:rPr>
      </w:pPr>
    </w:p>
    <w:p w:rsidR="00D300D0" w:rsidRPr="00D300D0" w:rsidRDefault="00D300D0" w:rsidP="00D300D0">
      <w:pPr>
        <w:ind w:left="2127" w:right="334" w:hanging="2127"/>
        <w:jc w:val="both"/>
        <w:rPr>
          <w:rFonts w:ascii="Arial" w:hAnsi="Arial" w:cs="Arial"/>
          <w:b/>
          <w:sz w:val="22"/>
          <w:szCs w:val="22"/>
        </w:rPr>
      </w:pPr>
    </w:p>
    <w:p w:rsidR="00D300D0" w:rsidRDefault="00D300D0" w:rsidP="00D300D0">
      <w:pPr>
        <w:ind w:right="-1"/>
        <w:jc w:val="both"/>
        <w:rPr>
          <w:rFonts w:ascii="Arial" w:hAnsi="Arial" w:cs="Arial"/>
          <w:sz w:val="22"/>
          <w:szCs w:val="22"/>
        </w:rPr>
      </w:pPr>
      <w:r w:rsidRPr="00D300D0">
        <w:rPr>
          <w:rFonts w:ascii="Arial" w:hAnsi="Arial" w:cs="Arial"/>
          <w:b/>
          <w:sz w:val="22"/>
          <w:szCs w:val="22"/>
        </w:rPr>
        <w:t xml:space="preserve">BASE DE PAGO.- </w:t>
      </w:r>
      <w:r w:rsidRPr="00D300D0">
        <w:rPr>
          <w:rFonts w:ascii="Arial" w:hAnsi="Arial" w:cs="Arial"/>
          <w:bCs/>
          <w:sz w:val="22"/>
          <w:szCs w:val="22"/>
        </w:rPr>
        <w:t xml:space="preserve">El </w:t>
      </w:r>
      <w:r w:rsidRPr="00D300D0">
        <w:rPr>
          <w:rFonts w:ascii="Arial" w:hAnsi="Arial" w:cs="Arial"/>
          <w:sz w:val="22"/>
          <w:szCs w:val="22"/>
        </w:rPr>
        <w:t>diseño, construcción y reubicación de la línea aérea de telecomunicaciones</w:t>
      </w:r>
      <w:r w:rsidRPr="00D300D0">
        <w:rPr>
          <w:rFonts w:ascii="Arial" w:hAnsi="Arial" w:cs="Arial"/>
          <w:bCs/>
          <w:sz w:val="22"/>
          <w:szCs w:val="22"/>
        </w:rPr>
        <w:t xml:space="preserve"> en afectaciones</w:t>
      </w:r>
      <w:r w:rsidRPr="00D300D0">
        <w:rPr>
          <w:rFonts w:ascii="Arial" w:hAnsi="Arial" w:cs="Arial"/>
          <w:sz w:val="22"/>
          <w:szCs w:val="22"/>
        </w:rPr>
        <w:t>, por unidad de obra terminada,</w:t>
      </w:r>
      <w:r w:rsidRPr="00D300D0">
        <w:rPr>
          <w:rFonts w:ascii="Arial" w:hAnsi="Arial" w:cs="Arial"/>
          <w:bCs/>
          <w:sz w:val="22"/>
          <w:szCs w:val="22"/>
        </w:rPr>
        <w:t xml:space="preserve"> se pagará al precio unitario fijado en el contrato por metro lineal</w:t>
      </w:r>
      <w:r w:rsidRPr="00D300D0">
        <w:rPr>
          <w:rFonts w:ascii="Arial" w:hAnsi="Arial" w:cs="Arial"/>
          <w:sz w:val="22"/>
          <w:szCs w:val="22"/>
        </w:rPr>
        <w:t xml:space="preserve"> (m) terminado de acuerdo con las especificaciones del proyecto. El precio unitario incluye: elaboración de proyecto ejecutivo bajo normativa de telecomunicaciones, supervisión de proyecto y la ejecución del proyecto por parte de la compañía afectada. Gestión de documentos, permisos, trámites, ejecución de los trabajos, materiales, mano de obra, equipo, herramienta, herrajes, cable conductor, postes de acuerdo a lo indicado en proyecto ejecutivo, excavaciones, rellenos, grúas, compactación de terreno, aislamientos necesarios, soportes para cable, retenidas, conectores, limpieza del área de trabajo y todo lo necesario para su correcta ejecución. Por unidad de obra terminada</w:t>
      </w:r>
    </w:p>
    <w:p w:rsidR="00D300D0" w:rsidRDefault="00D300D0" w:rsidP="00D300D0">
      <w:pPr>
        <w:ind w:right="-1"/>
        <w:jc w:val="both"/>
        <w:rPr>
          <w:rFonts w:ascii="Arial" w:hAnsi="Arial" w:cs="Arial"/>
          <w:sz w:val="22"/>
          <w:szCs w:val="22"/>
        </w:rPr>
      </w:pPr>
    </w:p>
    <w:p w:rsidR="00D300D0" w:rsidRDefault="00D300D0">
      <w:pPr>
        <w:rPr>
          <w:rFonts w:ascii="Arial" w:hAnsi="Arial" w:cs="Arial"/>
          <w:bCs/>
          <w:sz w:val="22"/>
          <w:szCs w:val="22"/>
          <w:lang w:val="es-MX"/>
        </w:rPr>
      </w:pPr>
      <w:bookmarkStart w:id="0" w:name="_GoBack"/>
      <w:bookmarkEnd w:id="0"/>
    </w:p>
    <w:sectPr w:rsidR="00D300D0"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E6217A">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17A"/>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88A32-5D84-4670-9BAA-6CABB38FE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327</Words>
  <Characters>1981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2014-04-23T22:15:00Z</dcterms:modified>
</cp:coreProperties>
</file>